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05.10.2021, оставленным без изменения постановлением Седьмого арбитражного апелляционного суда от 10.01.2022 и постановлением Арбитражного суда Западно-Сибирского округа от 04.03.2022, в удовлетворении заявления отказано. В кассационной жалобе Бобокова К.А. просит об отмене судебных актов, ссылаясь на невыяснение экономического смысла обращения взыскания на спорное имущество.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 для исключения ружья и конкурсной массы, разрешив заявление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Приведенные в жалобе доводы рассматривались, учитывались судами и не создают оснований для кассационного пересмотра судебных актов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Бобоковой Карлагаш Айдаровне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