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мая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города Москвы от 31.08.2021 в удовлетворении заявления отказано. Постановлением Девятого арбитражного апелляционного суда от 26.11.2021, оставленным без изменения постановлением Арбитражного суда Московского округа от 14.02.2022, определение отменено, заявление удовлетворено. В кассационной жалобе Ильина А.В. просит об отмене судебных актов апелляционного и окружного судов, ссылаясь на неосведомленность о неплатежеспособности должника и ненадлежащее исследование обстоятельств совершения сделки.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2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Суды установили отчуждение неплатежеспособным должником автомобиля в пользу заинтересованного лица (супруги сына) при отсутствии встречного предоставления в качестве условий для признания сделки недействительной в силу пункта 2 статьи 61.2 Федерального закона от 26.10.2002 № 127-ФЗ «О несостоятельности (банкротстве)». Вопросы доказывания и оценки доказательств, на которых основаны доводы жалобы, не составляют оснований для кассационного пересмотра судебных актов.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Ильиной Анастасии Владимировне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