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11.08.2021, оставленным без изменения постановлением Восемнадцатого арбитражного апелляционного суда от 21.10.2021 и постановлением Арбитражного суда Уральского округа от 24.01.2022, в удовлетворении заявления отказано. В кассационной жалобе Шумихина Л.Г. просит об отмене судебных актов, ссылаясь на несоответствие выводов судов о действиях финансового управляющего фактическим обстоятельствам дела и нерассмотрение вопроса о причинении его действиями ущерба должнику и кредиторам.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оценили все обстоятельства, в связи с которыми должник требовал отстранения финансового управляющего от исполнения обязанностей, и признали их не создающими согласно статьям 20.3, 83, 213.9 Федерального закона от 26.10.2002 № 127-ФЗ «О несостоятельности (банкротстве)» и их судебному толкованию условий для применения требуемой меры. Иная оценка должником действий финансового управляющего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Шумихиной Л.Г.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