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23.07.2021, оставленным без изменения постановлением Девятого арбитражного апелляционного суда от 20.10.2021 и постановлением Арбитражного суда Московского округа от 14.01.2022, заявление удовлетворено. В кассационной жалобе Абрамова (Воронина) Т.С. просит об отмене судебных актов, ссылаясь на отсутствие условий для признания сделки недействительной по общегражданским основаниям.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выходящим за пределы осуществления гражданских прав юридическое оформление на родственника передачи имущества, потенциально попадающего под взыскание по имеющимся в период совершения сделки обязательствам, неисполнение которых впоследствии повлекло применение процедур банкротства (статьи 10, 168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Абрамовой (Ворониной) Т.С.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