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принятым при новом рассмотрении заявления определением Арбитражного суда Брянской области от 09.08.2021, оставленным без изменения постановлением Двадцатого арбитражного апелляционного суда от 08.11.2021 и постановлением Арбитражного суда Центрального округа от 14.02.2022, в удовлетворении заявления отказано. В кассационной жалобе Гаврилов А.Л. просит о пересмотре судебных актов, ссылаясь на отсутствие оценки сделки как совершенной с предпочтением и притворной.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2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Сделка оспаривалась и проверена на соответствие законодательству о банкротстве, общим нормам гражданского законодательства (статьям 10, 168, 170 Гражданского кодекса Российской Федерации). Вопросы доказывания и оценки доказательств, на которых построены доводы жалобы, не создают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Гаврилову Алексею Львовичу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