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17.06.2021, оставленным без изменения постановлением Четвертого арбитражного апелляционного суда от 20.09.2021, в удовлетворении требования отказано. Постановлением Арбитражного суда Восточно-Сибирского округа от 24.01.2022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необоснованными, заявленные требования удовлетворить. При изучении доводов жалобы и принятых по делу судебных актов оснований для удовлетворения жалобы не установлено.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26.03.2003 № 35-ФЗ «Об электроэнергетике», суды пришли к выводу о наличии в действиях общества состава правонарушения, ответственность за совершение которого предусмотрена частью 1 статьи 14.43 3 Кодекса Российской Федерации об административных правонарушениях, установив, что общество, имеющее статус сетевой организации, осуществляло передачу третьему лицу из своих распределительных сетей электроэнергию, не соответствующую обязательным требованиям ГОСТ 32144-2013 по показателю качества передаваемой электрической энергии (по положительному отклонению напряжения).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Доводы, изложенные в жалобе, не свидетельствуют о неправильном применении судами норм материального или процессуального права, не опровергают выводы судов, направлены на иную оценку доказательств и установление иных фактических обстоятельств дела.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кассационные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