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13.09.2021, оставленным без изменения постановлением Одиннадцатого арбитражного апелляционного суда от 22.11.2021 и постановлением Арбитражного суда Поволжского округа от 20.01.2022, производство по рассмотрению отчета финансового управляющего имуществом должника прекращено. В кассационной жалобе Миллер Г.В. просит об отмене судебных актов, ссылаясь на незаконность прекращения производства по всем обособленным спорам при прекращении производства по делу о банкротстве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Согласно абзацу 7 пункта 1 статьи 57 Федерального закона от 26.10.2002 № 127-ФЗ «О несостоятельности (банкротстве)» арбитражный суд прекращает производство по делу о банкротстве в случае удовлетворения всех требований кредиторов, включенных в реестр требований кредиторов, в ходе любой процедуры, применяемой в деле о банкротстве. Обособленные споры рассматриваются в рамках дела о банкротстве и в связи с ведением дела о банкротстве, поэтому их судьба следует за судьбой дела. Удовлетворение находящихся в реестре требований кредиторов должника установлено судами, поэтому прекращение рассмотрения отчета финансового управляющего соответствует названной норме. Иное толкование заявителем законодательства о банкротстве не составляет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Миллеру Г.В.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