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28.10.2021, оставленным без изменения постановлением Пятого арбитражного апелляционного суда от 28.12.2021 и постановлением Арбитражного суда Дальневосточного округа от 03.03.2022, в удовлетворении иска отказано. В кассационной жалобе публичное акционерное общество «Камчатскэнерго» просит об отмене судебных актов, ссылаясь на неосновательное освобождение перевозчика от ответственности за ненадлежащее исполнение договора.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исследовав обстоятельства исполнения заявки на спорную перевозку, признали отсутствие условий, необходимых в силу договора от 08.06.2020 № 11-10/30 и статей 15, 393 Гражданского кодекса Российской Федерации для взыскания убытков. Требуемый пересмотр оценки установленных обстоятельств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«Камчатскэнерго»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