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заявлением о включении в реестр требований кредиторов должника (далее – реестр) его требований в размере 22 953 760 рублей 26 копеек. Определением Арбитражного суда Республики Бурятия от 18.08.2021, оставленным без изменения постановлениями Четвёртого арбитражного апелляционного суда от 25.10.2021 и Арбитражного суд Восточно-Сибирского округа от 20.01.2022, требования общества признаны обоснованными и подлежащими удовлетворению в очерёдности, предшествующей распределению ликвидационной квоты. В кассационной жалобе, поданной в Верховный Суд Российской Федерации, заявитель просит отменить указанные судебные акты и направить обособленный спор на новое рассмотрение. Исходя из содержания настоящей жалобы, заявитель не согласен с указанными судебными актами в части субординации требований общества.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позициями, изложенными в пунктах 2, 3 и 3.1 Обзора судебной практики разрешения споров, связанных с установлением в процедурах банкротства требований контролирующих должника и аффилированных с ним лиц, утвержденном Президиумом Верховного Суда Российской Федерации 29.01.2020, исходили из наличия оснований для субординации требований общества. Выводы судов соответствуют нормам права, оснований для переоценки выводов судов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заявителя о недоказанности имущественного кризиса у должника на момент выдачи займов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«Голби Консалт»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