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06.10.2021, оставленным без изменения постановлением Девятого арбитражного апелляционного суда от 15.12.2021 и постановлением Арбитражного суда Московского округа от 18.02.2022, в удовлетворении заявления отказано. В кассационной жалобе Маглели А.А. просит об отмене судебных актов, ссылаясь на нераспространение на оспариваемые платежи раздельного режима имущества супругов, учитывая неизвещение кредитора о заключении брачного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основанный на действующем брачном договоре раздельный режим имущества супругов и осуществление оспариваемых платежей супругом должника за счет личного заработка, согласно статьям 213.25, 213.26 Федерального закона от 26.10.2002 № 127-ФЗ «О несостоятельности (банкротстве)» не относящегося к конкурсной массе.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Маглели Александру Алексеевичу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