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04.06.2021, оставленным без изменения постановлением Четырнадцатого арбитражного апелляционного суда от 07.09.2021 и постановлением Арбитражного суда Северо-Западного округа от 13.01.2022, исковые требования удовлетворены. В кассационной жалобе, поданной в Верховный Суд Российской Федерации, общество просит отменить указанные судебные акты, ссылаясь на их незаконность.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309, 310, 487, 506, 516, 606, 614, 702, 706, 711, 717, 753, 779, 781, 1102 Гражданского кодекса Российской Федерации, суды первой и апелляционной инстанций, с которыми впоследствии согласился суд округа, пришли к выводу об удовлетворении исковых требований, исходя из подтвержденности наличия и размера задолженности общества перед компанией по спорным договорам. При этом суды отклонили заявление общества о пропуске компанией срока исковой давности ввиду того, что течение этого срока прерывалось в связи с совершением обществом действий, свидетельствующих о признании долга. Выводы судов подробно мотивированы в обжалуемых судебных актах. Приведенные в кассационной жалобе доводы аналогичны доводам, ранее заявлявшимся в судах и получившим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«Монтажная строительная компания»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