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принятым при новом рассмотрении дела решением Арбитражного суда Ростовской области от 14.10.2021 (с учетом определения от 15.10.2021 об исправлении опечатки), оставленным без изменения постановлением Пятнадцатого арбитражного апелляционного суда от 02.12.2021 и постановлением Арбитражного суда Северо-Кавказского округа от 03.03.2022, с общества в пользу фонда взыскано 278 000 руб. задолженности, 46 820 руб. процентов за пользование чужими денежными средствами, 2 9060 руб. расходов по уплате государственной пошлины, в удовлетворении остальной части первоначальных исковых требований и в удовлетворении встречных исковых требований отказано.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несоответствие их выводов фактическим обстоятельствам дела, просит отменить указанные судебные акты и направить дело на новое рассмотрение в Арбитражный суд Ростовской области.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обжалуемых судебных актов и доводов кассационной жалобы не установлено. Как следует из судебных актов, предъявленные взаимные требования фонда (заказчик) и общества (исполнитель) основаны на договоре от 04.12.2018 № Я-1292/2 на выполнение инженерно-геодезических работ (далее – договор). Исследовав и оценив по правилам статьи 71 Арбитражного процессуального кодекса Российской Федерации представленные в материалы дела доказательства, установив, что фонд произвел оплату по договору в общей сумме 350 000 руб.; договор расторгнут по инициативе фонда в связи с ненадлежащим исполнением обществом условий договора; стоимость качественно выполненных обществом работ составила 72 000 руб., суды первой и апелляционной инстанций пришли к выводу о наличии у общества обязанности возвратить фонду 278 000 руб. неотработанного аванса. При таких обстоятельствах, принимая во внимание отсутствие доказательств потребительской ценности выполненных обществом работ по разработке проектной документации (АР, ПОС), использования их результата фондом, как и доказательств невозможности выполнения работ по договору вследствие противоправных действий фонда, руководствуясь статьями 12, 15, 309, 310, 395, 702, 708, 711, 740, 746, 753 Гражданского кодекса Российской Федерации, суды частично удовлетворили первоначальные исковые требования и отказали в удовлетворении встречного иска. Суд округа поддержал выводы судов первой и апелляционной инстанций. Изложенные в кассационной жалобе доводы были предметом рассмотрения судов и получили правовую оценку, не опровергают выводы судов,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3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«Ядриз»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