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16.07.2021, оставленным без изменения постановлением Девятого арбитражного апелляционного суда от 12.10.2021 и постановлением Арбитражного суда Московского округа от 31.01.2022, иск удовлетворен. В кассационной жалобе, поданной в Верховный Суд Российской Федерации, учреждение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заключенного сторонами договора, установив, что общество (исполнитель) в период с 01.12.2020 по 31.12.2020 оказало услуги в соответствии с договором, которые приняты учреждением (заказчик) без замечаний, учитывая отсутствие доказательств, подтверждающих наличие оснований для удержания спорных денежных средств, руководствуясь статьями 309, 310, 779, 781 Гражданского кодекса Российской Федерации, суды первой и апелляционной инстанций пришли к выводу об обоснованности заявленных требований, с чем впоследствии согласился суд округа. Доводы, изложенные в кассационной жалобе со ссылкой на судебный акт по другому делу, выводы судов с учетом установленных фактических обстоятельств не опровергают, не подтверждают существенных нарушений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бюджетного учреждения города Москвы «Ритуал»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