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14.10.2020 заявленные требования удовлетворены. Определением Пятнадцатого арбитражного апелляционного суда от 14.01.2021 отказано в восстановлении пропущенного срока на подачу апелляционной жалобы в связи с отсутствием уважительных причин пропуска установленного законом срока. Постановлением Арбитражного суда Северо-Кавказского округа от 26.03.2021 решение суда первой инстанции отменено, дело направлено на новое рассмотрение в суд первой инстанции При новом рассмотрении дела решением Арбитражного суда Ростовской области от 06.07.2021, оставленным без изменения постановлением Пятнадцатого арбитражного апелляционного суда от 22.09.2021, в удовлетворении заявленного требования отказано. Постановлением Арбитражного суда Северо-Кавказского округа от 23.01.2022 принятые при новом рассмотрении дела судебные акты изменены, признаны незаконными и отменены оспариваемые постановления в части назначенного административного наказания, размер штрафа снижен до 30 000 рублей. Предприниматель в кассационной жалобе просит состоявшиеся по делу судебные акты отменить, считая их незаконными и необоснованными, оставить в силе решение Арбитражного суда Ростовской области от 14.10.2020.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3 Оценив представленные доказательства, руководствуясь статьями 20, 23 Федерального закона от 10.12.1995 № 196-ФЗ «О безопасности дорожного движения», суды пришли к выводу о наличии в действиях предпринимателя состава правонарушений, ответственность за совершение которых предусмотрена частями 2 и 3 статьи 12.31.1 Кодекса Российской Федерации об административных правонарушениях, установив факт перевозки продуктов в отсутствие путевого листа на автомобиль, и признав, что предприниматель не обеспечил обязательное проведение предрейсового медицинского осмотра водителя и предрейсового контроля технического состояния транспортного средства, административным органом соблюдена процедура привлечения предпринимателя к административной ответственности. При этом суд округа изменил решение суда первой инстанции и постановление суда апелляционной инстанции, усматрев наличие оснований для назначения административного наказания по правилам части 2 статьи 4.4 Кодекса Российской Федерации об административных правонарушениях. Судами установлено, что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отсутствуют. Доводы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в жалобе не приведено.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