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09.08.2021, оставленным без изменения постановлениями Девятого арбитражного апелляционного суда от 25.10.2021 и Арбитражного суда Московского округа от 15.02.2022, исковые требования удовлетворены частично, с учреждения в пользу общества взысканы задолженность в размере 546 453 рублей 61 копейки, пени в сумме 27 541 рубля 26 копеек, пени, рассчитанные на сумму основного долга в размере 546 453 рублей 61 копейки, исходя из 1/300 ставки рефинансирования Центрального банка Российской Федерации, действовавшей в соответствующие 2 периоды с 02.04.2021 по день фактической оплаты. В удовлетворении остальной части исковых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(подрядчик) и учреждением (заказчик) заключен государственный контракт на выполнение работ по монтажу установок пожарной автоматики и средств пожаротушения. В обоснование исковых требований общество ссылается на ненадлежащее исполнение заказчиком обязательств по оплате выполненных работ. Оценив представленные в материалы дела доказательства, суды, руководствуясь положениями статей 309, 310, 330, 702, 720, 740 Гражданского кодекса Российской Федерации, пришли к выводу о наличии оснований для частичного удовлетворения иска. Судебные инстанции исходили из отсутствия доказательств оплаты выполненных работ, при этом учли имеющиеся недостатки в выполненных работах, которые являются устранимыми, в связи с чем соразмерно уменьшили стоимость фактически выполненных подрядчиком работ на стоимость устранения недостатков, а также произвели перерасчет неустойки. При исследовании обстоятельств дела установлено, что внесудебная экспертиза, проведенная в соответствии с требованиями действующего законодательства, обществом не оспорена, о назначении судебной экспертизы в судебном заседании не заявлено. Доводы кассационной жалобы не подтверждают существенных нарушений норм материального права и норм процессуального права, повлиявших на исход дела. Несогласие заявителя с выводами судов, иная оценка им фактических обстоятельств дела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3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«Пож-Проект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