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29.06.2021, оставленным без изменения постановлением Семнадцатого арбитражного апелляционного суда от 05.10.2021 и постановлением Арбитражного суда Уральского округа от 08.02.2022,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неправомерном включении в состав расходов по налогу на прибыль затрат по взаимоотношениям с обществами с ограниченной ответственностью (далее – ООО) «ПСК «Монолит» и «ПКФ «Аверс» (субподрядчики), а также необоснованном применении налоговых вычетов по НДС на основании документов, выставленных от имени указанных контрагентов. Оценив представленные в материалы дела доказательства, суды установили, что представленные обществом первичные документы содержат недостоверные сведения, составлены формально и не подтверждают реального выполнения работ заявленными в качестве подрядчиков контрагентами, обладающими явными признаками номинальных организаций. При этом согласно договорам, заключенным между обществом и заказчиками, в обязанность подрядчика входило проведение работ только силами квалифицированных специалистов, прошедших соответствующую подготовку, с представлением перед началом работ и в составе исполнительной документации всех документов, подтверждающих квалификацию персонала, а также наличие допусков, лицензий и разрешений. Таких обстоятельств применительно к спорным контрагентам не установлено. Напротив, материалы дела свидетельствуют о выполнении работ собственными силами заявителя, договоры с субподрядчиками носят намеренный фиктивный характер. Учитывая установленные обстоятельства, руководствуясь положениями статей 54.1, 169, 171, 172, 247,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3 налоговых вычетов по НДС, в связи с чем признали решение инспекции в оспоренной части законным. Доводы, изложенные в кассационной жалобе, в том числе относительно необходимости учета в составе расходов понесенных обществом затрат на выполнение работ и нарушения сроков проведения налоговой проверки,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основаны на ином применении положений налогового законодательства к установленным фактическим обстоятельствам спора,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«Технология-Сервис»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