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16.07.2021, оставленным без изменения постановлением Десятого арбитражного апелляционного суда от 26.10.2021 и постановлением Арбитражного суда Московского округа от 31.01.2022, исковые требования удовлетворены.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принять новый судебный акт об отказе в удовлетворении иска.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материалов дела и доводов заявителя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309, 310, 329, 330, 779, 781, 783 Гражданского кодекса Российской Федерации, положениями Федерального закона от 24.06.1998 № 89-ФЗ «Об отходах производства и потребления», разъяснениями, изложенными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установив факт ненадлежащего исполнения обществом (потребитель) обязательств по оплате фактически оказанных региональным оператором услуг по обращению с твердыми коммунальными отходами (далее – ТКО) в спорный период, проанализировав условия заключенного сторонами договора на оказание услуг по обращению с ТКО и трехстороннего договора об организации расчетов, подписанного между сторонами и третьим лицом, указав на перешедшее к региональному оператору право требования с общества оплаты удержанных третьим лицом денежных средств, проверив и признав верным расчет неустойки, суды первой и апелляционной инстанции пришли к выводу о наличии оснований для удовлетворения исковых требований. Суд округа поддержал выводы судов первой и апелляционной инстанций. Доводы кассационной жалобы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«Жилкомплекс»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