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06.11.2020, оставленным без изменения постановлением Одиннадцатого арбитражного апелляционного суда от 04.10.2021 и постановлением Арбитражного суда 2 Поволжского округа от 07.02.2022, в удовлетворении заявленных требований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требования удовлетворить.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доначисления 78 087 556 рублей налога на прибыль, начисления 22 989 685 рублей пеней и 11 903 924 рублей штрафа послужил вывод налогового органа о неверном определении обществом размера внереализационных доходов и расходов, что привело к занижению подлежащего уплате в бюджет налога на прибыль. В частности, определив сумму вновь создаваемого резерва по результатам проведенной инвентаризации дебиторской задолженности на 31 декабря 2014, 2015, 2016 годов, общество не учитывало уже имеющиеся остатки на начало (отчетных) налоговых периодов (на 01.01.2014, 01.01.2015, 01.01.2016) и не корректировало определенный им размер резерва для отражения в составе внереализационных расходов. Признавая решения инспекции и управления в оспоренной части законными, суды, оценив представленные в материалы дела доказательства, руководствуясь положениями статей 252, 265, 266, 313 Налогового кодекса, пришли к выводу о доказанности факта неправильно сформированного налогоплательщиком резерва по сомнительным долгам. Судебные инстанции указали, что в нарушение установленного порядка определения расчетных сумм по резервам по сомнительным долгам налогоплательщик не корректировал остаток имеющегося резерва по сомнительным долгам на суммы использованных резервов. Расчеты налоговых обязательств судами проверены и признаны верными. Доводы, изложенные в кассационной жалобе, в том числе о непредставлении налоговым органом доказательств того, какие именно финансово-хозяйственные операции привели к занижению налоговой базы по налогу на прибыль, о неправомерном признании в качестве недопустимого доказательства экспертного заключения и о нарушении срока направления акта 3 проверки, являлись предметом рассмотрения судов и получили правовую оценку с учетом установленных обстоятельств дела. Приведенные доводы не опровергают выводы судов, не подтверждают существенного нарушения норм материального и процессуального права, повлиявших на исход дела, по сути, направлены на переоценку доказательств и основаны на ином применении положений налогового законодательства к установленным фактическим обстоятельствам спора, что не может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«Тяжмаш»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