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05.08.2021, оставленным без изменения постановлением Семнадцатого арбитражного апелляционного суда от 25.10.2021 и постановлением Арбитражного суда Уральского округа от 11.02.2022, исковое требование удовлетворено. 2 В кассационной жалобе, поданной в Верховный Суд Российской Федерации, министерство, ссылаясь на существенное нарушение норм права, просить отменить судебные акты и отказать в удовлетворении иска.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исковое требование мотивировано незаконными действиями (бездействием) сотрудников органов внутренних дел, выразившимися в неправомерной передаче изъятого имущества на хранение неуполномоченным лицам и непринятии мер по его сохранности, что привело к утрате этого имущества и причинению обществу ущерба в размере его стоимости. Оценив представленные в материалы дела доказательства, суды трех инстанций, руководствуясь положениями статей 15, 16, 1069, 1070 Гражданского кодекса Российской Федерации, статей 81, 117 Уголовно- процессуального кодекса Российской Федерации, правовыми позициями,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4, 5, 7, 10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постановлении Президиума Высшего Арбитражного Суда Российской Федерации 31.01.2012 № 12506/11, пришли к выводу о доказанности совокупности обстоятельств, свидетельствующих о наличии причинно-следственной связи между действием (бездействием) сотрудников органа внутренних дел и наступившими у общества неблагоприятными последствиями. Судебные инстанции указали, что принадлежащее обществу имущество передано на ответственное хранение неуполномоченному лицу и после передачи вопрос о судьбе данного имущества сотрудниками органа внутренних дел не разрешался, контроль за действиями хранителя по обеспечению сохранности изъятого и переданного на хранение имущества не осуществлялся, 3 в возбуждении уголовного дела по заявлению общества неоднократно отказано в отсутствие законных оснований. Доводы, изложенные в кассационной жалобе, повторяют позицию министерства по спору, были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существенных нарушений судами норм материального и (или) процессуального права, повлиявших на исход дела, и не являются достаточным основанием для пересмотра обжалуемых судебных актов в кассационном порядке в силу статей 291.6, 291.11 Арбитражного процессуального кодекса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