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19.07.2021, оставленным без изменения постановлением Семнадцатого арбитражного апелляционного суда от 04.10.2021 и постановлением Арбитражного суда Уральского округа от 02.02.2022, заявленные требования удовлетворены. В кассационной жалобе, поданной в Верховный Суд Российской Федерации, министерство ставит вопрос об отмене принятых по делу судебных актов, ссылаясь на нарушение судами норм права.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прокуратурой при проведении проверки соблюдения законодательства о налогах и сборах установлен факт бездействия администрации, выразившийся в непринятии мер по разработке и утверждению правового акта, регламентирующего предоставление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о местных налогах и сборах, предусмотренного статьями 21 , 34.2 Налогового кодекса. Полагая, что бездействие министерства является незаконным, прокуратура обратилась в арбитражный суд. Исследовав и оценив представленные в материалы дела доказательства, суды, руководствуясь положениями статей 21 , 34.2 Налогового кодекса, статей 2, 6 Федерального закона от 27.07.2010 № 210-ФЗ «Об организации предоставления государственных и муниципальных услуг», пришли к выводу о доказанности прокуратурой бездействия министерства, отметив, что непринятие соответствующего правового акта влечет неопределенность в деятельности финансового органа по предоставлению данной муниципальной услуги, нарушает права и законные интересы неопределенного круга лиц, в том числе субъектов предпринимательской деятельности. Доводы, изложенные в кассационной жалобе, в том числе об отсутствии у министерства полномочий по разработке и утверждению спорного правового акта, являлись предметом рассмотрения судов и получили надлежащую правовую оценку. Приведенные в жалобе доводы не свидетельствуют о существенных нарушениях норм материального и процессуального права, повлиявших на исход дела, выражают несогласие с выводами судов по фактическим обстоятельствам спора и основаны на ином толковании положений закона, что не может служить поводом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Пермского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Прокуратура Пермского края (подробнее) Ответчики: Министерство финансов Пермского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