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Коми от 12.07.2021, оставленным без изменения постановлением Второго арбитражного апелляционного суда от 08.10.2021 и постановлением Арбитражного суда Волго-Вятского округа от 08.02.2022, в удовлетворении искового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администрацией (заказчик) и обществом (исполнитель) заключен муниципальный контракт на выполнение работ (мероприятий), направленных на энергосбережение и повышение энергетической эффективности использования электрической энергии при эксплуатации объектов уличного освещения на территории муниципального образования сельского поселения «Объячево» Прилузского района. Исковое требование общества мотивировано неисполнением администрацией обязанности по оплате размера экономии энергетических ресурсов за период с января по апрель 2020 года. Оценив представленные в материалы дела доказательства, суды установили, что цена контракта определяется в виде процента экономии в денежном выражении соответствующих расходов заказчика на поставки энергетического ресурса, определенного по результатам открытого конкурса, и составляет 11 125 483 рубля 23 копейки. Таким образом, цена контракта согласована сторонами в виде фиксированного процента экономии в денежном выражении соответствующих расходов заказчика на поставки энергетических ресурсов. Максимальный процент экономии в размере 11 125 483 рублей 23 копеек был получен обществом при оплате администрацией достигнутой по контракту экономии за периоды с августа 2016 года по январь 2020 года. Вместе с тем общество предъявило к оплате объем, превышающий цену контракта. Учитывая установленные обстоятельства, руководствуясь положениями статей 8, 309, 310, 779, 781 Гражданского кодекса Российской Федерации, статьи 2 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статей 34, 108 Федерального закона от 05.04.2013 № 44-ФЗ «О контрактной системе в сфере закупок товаров, работ, услуг для обеспечения государственных и муниципальных нужд», суды трех инстанций пришли к выводу об отсутствии оснований для взыскания с администрации в пользу общества денежных средств свыше согласованного сторонами максимального размера экономии в денежном выражении, составляющего цену контракта. 3 Доводы, изложенные в кассационной жалобе, сводятся к повторению позиции общества по спору, были предметом рассмотрения судов и получили правовую оценку с учетом установленных обстоятельств дела. Несогласие заявителя жалобы с выводами судов не означает допущенной при рассмотрении дела судебной ошибки, не свидетельствует о существенных нарушениях норм материального и процессуального права, повлиявших на исход дела, и не может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«Современные инновационные системы»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