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Бурятия от 10.02.2021, оставленным без изменения постановлением Четвертого арбитражного апелляционного суда от 07.04.2021, производство по делу прекращено. Постановлением Арбитражного суда Восточно-Сибирского округа от 02.06.2021 указанные судебные акты отменены, дело направлено на новое рассмотрение в Арбитражный суд Республики Бурятия. При новом рассмотрении дела решением Арбитражного суда Республики Бурятия от 26.08.2021, оставленным без изменения постановлением Четвертого арбитражного апелляционного суда от 29.11.2021, заявленное требование предпринимателя удовлетворено. Постановлением Арбитражного суда Восточно-Сибирского округа от 25.02.2022 принятые при новом рассмотрении дела судебные акты оставлены без изменения. Предприниматель в кассационной жалобе просит изменить мотивировочную часть принятых при новом рассмотрении дела судебных актов, дополнив правовой оценкой причинения арбитражным управляющим убытков предпринимателю как правопреемнику должника.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Таких оснований по доводам жалобы не установлено, вопрос наличия (отсутствия) оснований для взыскания убытков в любом случае не может быть рассмотрен в рамках настоящего дела. При этом предприниматель не лишен возможности обратиться за судебной защитой, если он считает нарушенным свое право, иным способом, с учетом того, что в каждом виде судопроизводства предмет исследования имеет свои особенности, исходя из которых определяется не только компетентный суд, но и специфика правил доказывания, включая порядок представления, исследования доказательств и основания освобождения от доказывания.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