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05.02.2021 в удовлетворении заявленных требований отказано. Постановлением Девятого арбитражного апелляционного суда от 23.04.2021 решение суда первой инстанции отменено, дело передано в Московский городской суд для направления его в суд общей юрисдикции, к подсудности которого оно отнесено. 2 Арбитражный суд Московского округа постановлением от 11.08.2021 отменил постановление суда апелляционной инстанции, дело направил на новое рассмотрение в Девятый арбитражный апелляционный суд. Принятым по результатам повторного рассмотрения спора постановлением Девятого арбитражного апелляционного суда от 08.10.2021 решение суда первой инстанции оставлено без изменения. Арбитражный суд Московского округа постановлением от 28.02.2022 решение суда перовой и постановление суда апелляционной инстанций оставил без изменения. В кассационной жалобе Румянцева В.В. ставит вопрос об отмене принятых по делу судебных актов,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общества на действия аукционной комиссии учреждения, выразившиеся в отклонении его заявки от участия в аукционе, антимонопольным органом принято решение. Решением управления жалоба общества признана обоснованной, в действиях аукционной комиссии установлено нарушение части 5 статьи 67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Выдано обязательное для исполнения предписание. Не согласившись с ненормативными правовыми актами антимонопольного органа, Румянцева В.В., являющаяся председателем аукционной комиссии учреждения, обратилась в арбитражный суд. Исследовав и оценив представленные в материалы дела доказательства, руководствуясь положениями Закона о контрактной системе, правовой позицией, изложенной в пункте 37 Обзора судебной практики Верховного Суда Российской Федерации № 1 (2019), утвержденного Президиумом Верховного Суда Российской Федерации 24.04.2019, принимая во внимание обстоятельства, установленные по результатам рассмотрения дела № А40-57609/2020, пришли к выводу об отсутствии оснований для удовлетворения заявленных требований. 3 Судебные инстанции исходили из отсутствия совокупности условий, необходимых для признания недействительными оспариваемых ненормативных правовых актов управления. При этом суды указали, что заявитель не обосновал, какое именно право нарушено оспариваемыми решением и предписанием, в связи с чем отметили, что удовлетворение заявленных требований не является необходимостью, не порождает правовых последствий для сторон и не несёт каких-либо правовосстановительных функций. Доводы, изложенные в кассационной жалобе, являлись предметом рассмотрения судов и не опровергают их выводы, сделанные на основании правильного применения норм права к установленным обстоятельствам дела, не свидетельствуют о допущенной при рассмотрении дела судебной ошибке,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Румянцевой Виктории Вячеславовне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