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28.07.2021, оставленным без изменения постановлением Девятого арбитражного апелляционного суда от 13.10.2021 и постановлением Арбитражного суда Московского округа от 01.02.2022, в удовлетворении заявленных требований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оспоренные решения приняты инспекцией по результатам камеральных налоговых проверок представленных обществом уточненных расчетов сумм налога на доходы физических лиц, исчисленных и удержанных налоговым агентом за первый квартал, полугодие, девять месяцев 2018 года, первый квартал и полугодие 2019 года. Указанными решениями налогоплательщик привлечен к налоговой ответственности, предусмотренной статьей 123 Налогового кодекса Российской Федерации (далее - Налоговый кодекс) в виде штрафов. Основанием для принятия решений послужил вывод налогового органа о неисполнении обществом обязанности по своевременному перечислению исчисленных и удержанных денежных средств как налоговым агентом. Не согласившись с вынесенными налоговым органом решениями, общество обратилось в арбитражный суд. Отказывая в удовлетворении требований, суды первой и апелляционной инстанций, исследовав и оценив представленные в материалы дела доказательства, руководствуясь положениями Налогового кодекса, пришли к выводу о том, что решения налогового органа соответствуют положениям действующего законодательства и не нарушают права и законные интересы общества, с чем согласился суд округа. Суды исходили из того, что датой фактического получения дохода физическими лицами - работниками общества является дата перечисления денежных средств с расчетного счета ООО «ЭЙЧ-ЭС-БИ-СИ БАНК (РР)» на расчетный счет АО КБ «СИТИБАНК». Как указали суды, представленные выписки банка по расчетному счету налогоплательщика свидетельствуют о несвоевременном удержании и перечислении им налога, в связи с чем общество правомерно привлечено к налоговой ответственности, установленной статьей 123 Налогового кодекса. Доводы, изложенные в кассационной жалобе, являлись предметом рассмотрения судов, не свидетельствуют о нарушении судами норм материального и процессуального права, повлиявших на исход дела. Указанные доводы общества основаны на несогласии с выводами судов и неправильном толковании применительно к ним положений законодательства, что не может служить основанием для отмены судебных актов в кассационном порядке. Учитывая изложенное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«Веринт Системс ГмбХ»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