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27.05.2021, оставленным без изменения постановлением Девятого арбитражного апелляционного суда от 16.08.2021 и постановлением Арбитражного суда Московского округа от 27.01.2022, первоначальные исковые требования удовлетворены частично, 2 с компании в пользу общества взыскано 4 390 476 руб. неосновательного обогащения, 687 673 руб. 20 коп. неустойки, в удовлетворении остальной части первоначальных исковых требований и в удовлетворении встречного иска отказано. В кассационной жалобе, поданной в Верховный Суд Российской Федерации, компания, ссылаясь на незаконность указанных судебных актов, просит их отменить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общество (генеральный проектировщик) перечислило в пользу компании (исполнитель) аванс по спорному договору; договор расторгнут обществом в одностороннем порядке в связи с нарушением компанией сроков выполнения работ и неустранением выявленных в работах недостатков; надлежащих доказательств выполнения компанией работ и передачи их результата до расторжения договора не представлено, руководствуясь статьями 309, 310, 330, 450.1, 702, 708, 711, 715, 746, 753, 1102 Гражданского кодекса Российской Федерации, суды первой и апелляционной инстанций пришли к выводу о наличии оснований для удовлетворения первоначальных требований в части взыскания с компании неосновательного обогащения и неустойки (с учетом корректировки ее расчета и применения положений статьи 333 Гражданского кодекса Российской Федерации) и необоснованности встречного иска.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Монтажная компания «Партнеринвестстрой»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