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04.10.2021, оставленным без изменения постановлением Восемнадцатого арбитражного апелляционного суда от 07.12.2021, в удовлетворении требования отказано. Постановлением Арбитражного суда Уральского округа от 04.03.2022 указанные судебные акты оставлены без изменения. Предприниматель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статьями 161 , 162 , 192 Жилищного кодекса Российской Федерации, Положением о лицензировании предпринимательской деятельности по управлению многоквартирными домами, утвержденным постановлением Правительства Российской Федерации от 28.10.2014 № 1110, суды отказали в удовлетворении требования, признав, что исходя из представленных доказательств, кровлю над пристроем нельзя признать общим имуществом дома, ответственность за содержание которого несет управляющая компания. Указанные выводы судов в жалобе не опровергнуты исходя из разъяснений, изложенных в пункте 2 постановления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здания». Несогласие заявителя с установленными судами фактическими обстоятельствами дела и с толкованием норм законодательства, подлежащих применению к рассматриваемым правоотношениям,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