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04.06.2021, оставленным без изменения постановлением Тринадцатого арбитражного апелляционного суда от 31.08.2021, в удовлетворении заявления отказано. 2 Постановлением Арбитражного суда Северо-Западного округа от 10.01.2022 указанные судебные акты оставлены без изменения. В кассационной жалобе общество просит отменить принятые по делу судебные акты как незаконные и необоснованные.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31, 87, 89 Налогового кодекса Российской Федерации, статей 198, 201 Арбитражного процессуального кодекса Российской Федерации, суды отказали в удовлетворении требований, признав, что оспариваемое решение принято в соответствии с требованиями налогового законодательства, не возлагает на общество незаконных и необоснованных обязанностей, не создает препятствий для осуществления предпринимательской и иной экономической деятельности.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