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Тверской области от 26.05.2021, оставленным без изменения постановлением Четырнадцатого арбитражного апелляционного суда от 28.09.2021, обществу отказано в удовлетворении заявленных требований. 2 Арбитражный суд Северо-Западного округа постановлением от 19.01.2022 оставил без изменения решение суда первой инстанции и постановление суда апелляционной инстанции. Общество обратилось в Верховный Суд Российской Федерации с кассационной жалобой на указанные судебные акты, в которой ссылается на нарушение норм материального и процессуального права.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оценив представленные в материалы дела доказательства и установив, что хозяйственные операции с обществами с ограниченной ответственностью «Инструментресурс», «Локи», «Литтехнология», «Монолитпромдеталь», «Тверьлиттехнология», «Литпром 69», «Техдеталь +», «Стройинвест-Арго», «Прокатсервис», «Сбытсервис», «Металлпром», «Спектр Групп», «Компания «Метизный двор», «Металлпро» (далее – контрагенты) не отвечают признакам реальности и направлены на получение необоснованной налоговой выгоды в виде незаконного возмещения НДС путем заявления налоговых вычетов, руководствуясь положениями статей 169, 171, 172 Налогового кодекса Российской Федерации, постановлением Пленума Высшего Арбитражного Суда Российской Федерации от 12.10.2006 № 53 «Об оценке арбитражными судами обоснованности получения 3 налогоплательщиком налоговой выгоды», суды пришли к выводу о правомерности решения инспекции. При этом суды установили создание заявителем и его контрагентами формального документооборота, с целью получения налоговых вычетов по НДС, непредставление обществом первичных документов, подтверждающих право налогоплательщика на применение налоговых вычетов. Контрагенты обладают признаками номинальных организаций, не располагаются по юридическим адресам, не обладают недвижимым имуществом, персоналом, не несут хозяйственные расходы, уплата налогов в бюджет контрагентами производится в минимальном размере, движение денежных средств на счетах носит транзитный характер, значительная часть денежных средств выводятся из оборота, деятельность контрагентов в целом подконтрольна обществу. Установив все обстоятельства, имеющие существенное значение для рассмотрения дела, на основании полного и всестороннего исследования и оценки имеющихся в деле доказательств в их совокупности и взаимосвязи, суды пришли к выводу об отсутствии реального совершения обществом спорных хозяйственных операций с указанными контрагентами. На основании изложенного, суды отказали обществу в удовлетворении заявленных требований. Обжалуя судебные акты в Верховный Суд Российской Федерации, общество приводит доводы о реальном характере хозяйственных операций и оправданности заключения сделок со спорными контрагентами, которые являлись предметом рассмотрения судов и получили надлежащую правовую оценку с учетом установленных обстоятельств, не согласиться с которой оснований не имеется. Доводы общества были предметом рассмотрения судов и мотивированно отклонены,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4 С учетом изложенного приведенные обществом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