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21.05.2021 в удовлетворении исковых требований отказано. Постановлением Девятого арбитражного апелляционного суда от 06.10.2021 решение суда отменено, исковые требования удовлетворены. Арбитражный суд Московского округа постановлением от 26.01.2022 оставил без изменения постановление суда апелляционной инстанции. 2 Предприятие обратилось в Верховный Суд Российской Федерации с кассационной жалобой, считая судебные акты судов апелляционной и кассационной инстанций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Удовлетворяя исковые требования, оценив представленные доказательства, руководствуясь положениями статей 1, 309, 310, 330, 1102 Гражданского кодекса Российской Федерации, установив, что поставка товара осуществляется партиями, при этом, истцом неустойка начислена из полной суммы договора, суд апелляционной инстанции исходил из того, что неустойка должна начисляться на стоимость партии товара, поставленной с просрочкой, за вычетом стоимости надлежащим образом поставленного товара в рамках партии, с учетом разницы между полученной заказчиком неустойкой и правильным ее размером, на стороне ответчика возникло неосновательное обогащение. Суд округа поддержал выводы суда апелляционной инстанции. Доводы жалобы со ссылкой на судебную практику были предметом исследования судов и получили исчерпывающую правовую оценку с учетом конкретных установленных обстоятельств.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