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06.07.2021, оставленным без изменения постановлением Семнадцатого арбитражного апелляционного суда от 05.10.2021, общество привлечено к административной ответственности по части 4 статьи 14.1 КоАП РФ и ему назначено наказание в виде штрафа в размере 50 000 рублей. Постановлением Арбитражного суда Уральского округа от 18.01.2022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послужили выявленные административным органом факты, свидетельствующие о нарушении обществом лицензионных требований при осуществлении деятельности по производству работ по монтажу, ремонту и обслуживанию средств обеспечения пожарной безопасности зданий и сооружений. Частью 4 статьи 14.1 КоАП РФ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положениями Федерального закона от 04.05.2011 № 99-ФЗ «О лицензировании отдельных видов деятельности», Федерального закона от 22.07. 2008 года № 123-ФЗ 3 «Технический регламент о требованиях пожарной безопасности», Положением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утвержденных Постановлением Правительства Российской Федерации от 28.07.2020 № 1128, суды пришли к выводу о наличии в действиях общества состава правонарушения, ответственность за совершение которого предусмотрена частью 4 статьи 14.1 Кодекса Российской Федерации об административных правонарушениях, установив несоблюдение обществом нормативных требований, предъявляемых к техническому обслуживанию и ремонту средств обеспечения пожарной безопасности зданий и сооружений (системы пожарной сигнализации, оповещения и эвакуации), при монтаже и наладке системы автоматической пожарной сигнализации. При этом, применив положения статьи 4.1 КоАП РФ, суды снизили размер штрафа до 50 000 рублей. Обществом не были приняты все зависящие от него меры к обеспечению соблюдения требований действующего законодательства, вина общества в совершении вмененного правонарушения доказана, срок давности привлечения к ответственности соблюден. Довод жалобы о пропуске срока давности привлечения к административной ответственности основан на ошибочном толковании положений действующего законодательства об административных правонарушениях, поскольку выявленное правонарушение является длящимся, срок давности привлечения к административной ответственности подлежал исчислению с момента его выявления административным органом и на момент вынесения обжалуемого решения арбитражного суда о привлечении общества к административной ответственности не пропущен. Иные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4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