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27.05.2021, оставленным без изменения постановлением Тринадцатого арбитражного апелляционного суда от 30.08.2021, в удовлетворении заявления отказано. 2 Постановлением Арбитражного суда Арбитражного суда Северо- Западного округа от 10.01.2022 указанные судебные акты оставлены без изменения. В кассационной жалобе общество просит отменить принятые по делу судебные акты как незаконные и необоснованные.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статей 31, 87, 89, 93.1 Налогового кодекса Российской Федерации, статей 198, 201 Арбитражного процессуального кодекса Российской Федерации, суды отказали в удовлетворении требований, признав, что оспариваемое решение принято в соответствии с требованиями налогового законодательства, не возлагает на общество незаконных и необоснованных обязанностей, не создает препятствий для осуществления предпринимательской и иной экономической деятельности.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