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07.06.2021 общество признано виновным в совершении административного правонарушения, 2 предусмотренного частью 4 статьи 14.1 Кодекса Российской Федерации об административных правонарушениях, и подвергнуто административному наказанию в виде административного приостановления деятельности на срок 90 суток. Общество обратилось в Арбитражный суд города Москвы с заявлением о досрочном прекращении исполнения наказания в связи с устранением обстоятельств, послуживших основанием для привлечения к административной ответственности. Определением Арбитражного суда города Москвы от 19.08.2021, оставленным без изменения постановлением Девятого арбитражного апелляционного суда от 20.10.2021, административное приостановление деятельности досрочно (начиная с 19.08.2021) прекращено судом. Постановлением Арбитражного суда Московского округа от 18.01.2022 указанные судебные акты оставлены без изменения. Административный орган просит отменить обжалуемые судебные акты, считая их незаконными и необоснованными, направить дело на новое рассмотрение в суд первой инстанции.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передачи жалобы для рассмотрения в судебном заседании 3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статьи 32.12 Кодекса Российской Федерации об административных правонарушениях, суды удовлетворили заявление общества о досрочном прекращении исполнения наказания, установив, что обстоятельства, послужившие основанием для назначения административного наказания в виде административного приостановления деятельности, устранены. Указанные выводы судов в жалобе не опровергнуты и не подлежат переоценке на стадии кассационного обжалования. Ссылка на рассмотрение заявления общества в отсутствие заключения административного органа об устранении обстоятельств, послуживших основанием для назначения административного наказания в виде административного приостановления деятельности, сама по себе не является основанием для отмены судебных актов с учетом положений статьи 9 Арбитражного процессуального кодекса Российской Федерации. Суд признал дело подготовленным к рассмотрению и посчитал возможным рассмотреть его по существу по имеющимся в деле доказательствам в отсутствие ходатайств лиц, участвующих в деле. Нарушение принципа гласности судебного разбирательства (статья 11 Арбитражного процессуального кодекса Российской Федерации) судами не допущено. Нарушений норм процессуального права, являющихся основанием для отмены решения суда первой инстанции на основании части 4 статьи 270, части 4 статьи 288 Арбитражного процессуального кодекса Российской Федерации, по доводам жалобы не установлено.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4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