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05.10.2021, оставленным без изменения постановлением Девятого арбитражного апелляционного суда от 22.12.2021, арбитражный управляющий привлечена к административной ответственности, ей назначено наказание в виде дисквалификации сроком на шесть месяцев. 2 Постановлением Арбитражного суда Московского округа от 28.02.2022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обжалуемые судебные акты отменить, считая их незаконными и необоснованными, направить дело на новое рассмотрение в суд первой инстанции.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статьи 110 Федерального закона от 26.10.2002 № 127-ФЗ «О несостоятельности (банкротстве)» и пункта 3.1 Приказа Минэкономразвития России от 05.04.2013 № 178 «Об утверждении Порядка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Перечня сведений, подлежащих включению в Единый федеральный реестр сведений о банкротстве», суды пришли к выводу о наличии в действиях арбитражного 3 управляющего, нарушившей срок опубликования в ЕФРСБ сведений о заключении договоров купли-продажи с победителем торгов по лотам № 1 (Башенный кран Лиебхерр 132 ЕС-Н8, зав. номер 46834), № 2 (Башенный кран Лиебхерр 132 ЕС-Н8, зав. номер 46835), № 3 (Башенный кран Лиебхерр 132 ЕС-Н8, зав. номер 46836) и № 4 (Башенный кран Лиебхерр 132 ЕС-Н8, зав. номер 46839),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а также отсутствии оснований для признания административного правонарушения малозначительным и применения положений статьи 2.9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административное наказание назначено в минимальном размере санкции нормы. Применительно к разъяснениям, содержащимся в пункте 18.1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выводы судов первой и апелляционной инстанций о невозможности квалификации совершенного правонарушения в качестве малозначительного не подлежат переоценке на стадии кассационного обжалования. При этом, как указал Конституционный Суд Российской Федерации в Определении от 06.06.2017 № 1167-О, особый публично-правовой статус арбитражных управляющих (предполагающий наделение их публичными функциями, выступающими в качестве своего рода пределов распространения на них статуса индивидуального предпринимателя) обусловливает право законодателя предъявлять к ним специальные требования, относить арбитражных управляющих к категории должностных лиц (примечание к статье 2.4 Кодекса Российской Федерации об административных 4 правонарушениях) и вводить повышенные меры административной ответственности за совершенные ими правонарушения. Несогласие арбитражного управляющего с установленными судами фактическими обстоятельствами дела и с толкованием норм законодательства, подлежащих применению к рассматриваемым правоотношениям,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