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14.09.2021, оставленным без изменения постановлением Девятнадцатого арбитражного апелляционного суда от 03.12.2021 и постановлением Арбитражного суда Центрального округа от 22.02.2022, в удовлетворении заявленных требований отказано. В кассационной жалобе, поданной в Верховный Суд Российской Федерации, комитет,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комитет обратился в антимонопольный орган с заявлением о включении информации в отношении гражданина ФИО1 в реестр недобросовестных участников аукциона в связи с отказом от заключения договоров аренды земельных участков, являвшихся предметами торгов № 161020/0720372/01 по лотам №№ 2, 3, 4, 5. Решением управления во включении сведений о предпринимателе в реестр недобросовестных участников отказано. Считая решение незаконным, комитет обратился в арбитражный суд. Оценив представленные в материалы дела доказательства, суды, руководствуясь положениями статьи 39.12 Земельного кодекса Российской Федерации, Порядком ведения реестра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 том числе требованиях к технологическим, программным, лингвистическим, правовым и организационным средствам обеспечения ведения данного реестра, утвержденным приказом ФАС России от 14.04.2015 № 247/15, пришли к выводу о том, что решение антимонопольного органа соответствует действующему законодательству и не нарушает права и законные интересы комитета ввиду отсутствия оснований для включения ФИО1 в реестр недобросовестных участников аукциона. Судебные инстанции установили, что в первоначально направленных ФИО1 проектах договоров аренды земельных участков организатором аукциона указаны недостоверные паспортные данные гражданина, а в сопроводительном письме отражен неверный срок направления подписанных договоров в адрес комитета. При этом правовое обоснование отказа в удовлетворении требований комитета о включении ФИО1 в реестр содержится в решении управления от 08.02.2021, которое не подлежит оценке в связи с истечением процессуального срока и в связи с обжалованием в рамках настоящего дела иного ненормативного акта. В тоже время обстоятельства, ставшие основанием для отказа во включении гражданина в реестр, изложенные в решении от 13.04.2021, комитетом не оспариваются. Вместе с тем при рассмотрении дела судами подтверждено повторное направление комитетом договоров аренды в адрес Титова С.А. с нарушением требований земельного законодательства (по истечении более трех месяцев со дня подписания протоколов торгов). Доводы, изложенные в кассационной жалобе, в том числе относительно вины и характера действий комитета, являлись предметом рассмотрения судов, не опровергают их выводы и не подтверждают существенных нарушений норм права, повлиявших на исход дела. Приведенные доводы, по сути, выражают несогласие с выводами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управлению имуществом Курской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