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28.09.2021, оставленным без изменения постановлением Одиннадцатого арбитражного апелляционного суда от 02.12.2021 и постановлением Арбитражного суда Поволжского округа от 03.03.2022, в удовлетворении заявленного требования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Штабский М.Е. обратился в антимонопольный орган с жалобой на действия электронной торговой площадки «Alfalot.ru», оператором которой является общество, при проведении конкурсным управляющим торгов в форме публичного предложения по продаже имущества должника - предприятия на основании решения Арбитражного суда Республики Хакасия. По мнению заявителя жалобы, на сайте электронной торговой площадки в нарушение требований законодательства отсутствует информация о количестве поступивших заявок на участие в торгах. Решением управления жалоба признана обоснованной, а оператор электронной площадки в лице общества нарушившим подпункт «д» пункта 8.1 Порядка проведения торгов в электронной форме по продаже имущества или предприятия должников в ходе процедур, применяемых в деле о банкротстве, утвержденного приказом Минэкономразвития России от 23.07.2015 № 495 (далее – Порядок проведения торгов). Считая решение антимонопольного органа незаконным, общество обратилось с заявлением в арбитражный суд. Отказывая в удовлетворении требования, суды трех инстанций, руководствуясь положениями статей 18.1, 110 Федерального закона от 26.10.2002 № 127-ФЗ «О несостоятельности (банкротстве)», Порядком проведения торгов и Требованиями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утвержденными приказом Минэкономразвития России от 23.07.2015 № 495, пришли к выводу о доказанности управлением наличия в действиях общества 3 вменяемого нарушения ввиду несоответствия размещенной на электронной торговой площадке информации установленным требованиям. Доводы, изложенные в кассационной жалобе, в том числе о неправомерности принятия скриншотов в качестве доказательств и о недобросовестном поведении Штабского М.Е., являлись предметом рассмотрения судов, получили надлежащую правовую оценку и не подтверждают существенных нарушений норм права, которые могли повлиять на исход дела. По существу, приведенные доводы выражают несогласие с выводами судов по фактическим обстоятельствам настоящего спора и основаны на иной оценке представленных доказательств,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«Аукционы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