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16.08.2021, оставленным без изменения постановлением Двадцатого арбитражного апелляционного суда от 29.09.2021, в удовлетворении исковых требований отказано. Арбитражный суд Центрального округа постановлением от 19.01.2022 названные судебные акты отменил, дело направил на новое рассмотрение в Арбитражный суд Брянской области. 2 В кассационной жалобе администрация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(поставщик) и учреждением (покупатель) заключено 9 договоров поставки школьного оборудования в порядке, предусмотренном пунктом 4 части 1 статьи 92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каждый на сумму 100 000 рублей. Полагая, что заключенные учреждением и обществом договоры поставки на общую сумму 900 000 рублей фактически являются единой сделкой, заключенной в обход положений Закона о контрактной системе, прокурор обратился в арбитражный суд с иском о признании их недействительными. Отказывая в удовлетворении исковых требований, суды первой и апелляционной инстанций пришли к выводу о том, что прокурором пропущен годичный срок исковой давности для обращения в суд с иском о признании недействительными оспоримых сделок. При исследовании обстоятельств дела установлено, что оспариваемые сделки соответствуют в денежном выражении критериям, установленным пунктом 5 части 1 статьи 93 Закона о контрактной системе; факт неоднократного приобретения у общества одноименных товаров не является нарушением требований Закона о контрактной системе. Кроме того, суды указали, что удовлетворение исковых требований не обеспечит защиту нарушенных прав лиц, в интересах которых выступает прокурор, так как оспариваемые им договоры поставки товаров уже исполнены. Отменяя принятые по делу судебные акты и направляя дело на новое рассмотрение, суд кассационной инстанции пришел к выводу о том, что судами допущены нарушения норм материального права, повлиявшие на исход дела. В частности, суд округа установил, что при разрешении настоящего спора суды 3 неправомерно исходили из того, что спорные договоры являются оспоримыми, поскольку не учтено, что заключенные в течение одного дня с одним поставщиком договоры поставки с идентичными условиями, предметом которых является поставка одноименных товаров одному приобретателю, имеющему единый интерес, фактически образуют единую сделку, искусственно раздробленную и оформленную несколькими договорами для формального соблюдения ограничения, предусмотренного пунктами 4, 5 части 1 статьи 93 Закона о контрактной системе.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Жирятинского района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