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28.04.2022 обратился в Верховный Суд Российской Федерации с жалобой на определение судьи Верховного Суда Российской Федерации от 22.04.2022 № 301-ЭС22-4560, решение Арбитражного суда Ивановской области от 09.06.2021, постановление Второго арбитражного апелляционного суда от 20.08.2021 и постановление Арбитражного суда Волго-Вятского округа 2 от 23.12.2021 по делу № А17-6725/2020,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«Страховая акционерная компания «Энергогарант»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