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25.06.2021, оставленным без изменения постановлением Седьмого арбитражного апелляционного суда от 31.08.2021 и постановлением Арбитражного суда Западно-Сибирского округа от 13.01.2022, в удовлетворении заявления отказано. В кассационной жалобе Губайдуллин Р.Ш. просит об отмене судебных актов, ссылаясь на недобросовестное его представительство финансовым управляющим.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полномочия, ненадлежащее исполнение которых финансовому управляющему вменяет должник, реализованы им самим посредством обращения в суд общей юрисдикции, разрешивший спор по существу, поэтому нарушения управляющим функций в качестве условия для взыскания убытков не признали в силу статей 20.3 20.4, 83, 213.9 Федерального закона от 26.10.2002 № 127-ФЗ «О несостоятельности (банкротстве)», статьи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Губайдуллину Р.Ш.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