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28.10.2021, оставленным без изменения постановлением Восьмого арбитражного апелляционного суда от 13.12.2021 и постановлением Арбитражного суда Западно-Сибирского округа от 03.03.2022, заявление удовлетворено. В кассационной жалобе Гутников М.В. просит об отмене судебных актов, ссылаясь на игнорирование законной нормы о привлечении оценщика исключительно по решению собрания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рассматриваемом случае решение о привлечении оценщика с оплатой его услуг за счет конкурсной массы принимал суд. Компетенция собрания кредиторов распространяется на привлечение специалиста за счет средств кредиторов (пункт 2 статьи 213.26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Гутникову М.В.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