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20.10.2021 в удовлетворении заявления отказано. Девятый арбитражный апелляционный суд постановлением от 16.12.2021 отменил определение от 20.10.2021 и признал перечисление должником 23.03.2015 денежных средств в размере 3 000 008 рублей 22 копеек в пользу Павлюка П.А. недействительной сделкой, взыскав спорную сумму с Павлюка П.А. в конкурсную массу должника. Арбитражный суд Московского округа постановлением от 24.02.2022 постановление апелляционного суда от 16.12.2021 оставил без изменения. В кассационной жалобе Иванова (Аносова) О.А. просит об отмене судебных актов апелляционного и окружного судов, ссылаясь на игнорирование довода о пропуске срока исковой давности и отсутствие условий для признания сделки недействительной.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Для признания сделки недействительной по общегражданским основаниям применяется срок исковой давности, предусмотренный пунктом 1 статьи 181 Гражданского кодекса Российской Федерации, начало течения которого для кредитора определено по правилу статьи 200 Кодекса, на что указано окружным судом. Апелляционный суд установил наличие условий для недействительности сделки в силу общих норм гражданского законодательства (статей 10, 168 Гражданского кодекса Российской Федерации). Иная оценка обстоятельств совершения сделки должником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Ивановой (Аносовой) О.А.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