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20.09.2021, оставленным без изменения постановлением Десятого арбитражного апелляционного суда от 14.12.2021 и постановлением Арбитражного суда Московского округа от 11.03.2022, в удовлетворении иска отказано. В кассационной жалобе, поданной в Верховный Суд Российской Федерации, организация, ссылаясь на нарушение судами норм материального права, просит отменить указанные судебные акты и направить дело на новое рассмотрение в Арбитражный суд Московской области.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недостаток автомобиля устранен ответчиком в разумный срок, превышение срока его устранения отсутствует, руководствуясь положениями Закона от 07.02.1992 № 2300-1 «О защите прав потребителей», суды первой и апелляционной инстанций не усмотрели оснований для удовлетворения иска,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региональной общественной организации инвалидов «Отрада»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