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01.07.2021, оставленным без изменения постановлением Девятого арбитражного апелляционного суда от 02.09.2021 и постановлением Арбитражного суда Московского округа от 24.11.2021, заявление удовлетворено. В кассационной жалобе Вахоцкий А.В. просит о пересмотре судебных актов, ссылаясь на отсутствие у финансового управляющего права на стимулирующую часть вознаграждения в связи с недостижением задач процедуры реструктуризации долгов.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вследствие деятельности Сакировой С.В. в качестве финансового управляющего в процедуре реструктуризации долгов в конкурсную массу поступили денежные средства в размере 30 000 000 рублей в виде последствия признания недействительной сделки. Таким образом, право на вознаграждение признано судами возникшим в связи с вкладом арбитражного управляющего в достижение цели процедур банкротства должника, и требование о вознаграждении удовлетворено в соответствии с пунктом 17 статьи 20.6, пунктом 3 статьи 213.9 Федерального закона от 26.10.2002 № 127-ФЗ «О несостоятельности (банкротстве)». Иное толкование основания возникновения права на вознаграждение применительно к рассматриваемому заявлению не влечет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Вахоцкому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