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«Георесурс» (далее – общество «Георесурс») обратилось в Арбитражный суд Свердловской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«Геопромкомплекс» (далее – общество «Геопромкомплекс») о взыскании 2 130 000 рублей задолженности по договору займа от 21.02.2017 № 1 и 633 539 рублей 03 копеек процентов за пользование денежными средствами за период с 23.02.2017 по 16.07.2021 с продолжением начисления по день фактического погашения долга; о взыскании 2 200 000 рублей задолженности по договору займа от 24.05.2017 № 2, 600 262 рублей 94 копеек процентов за пользование чужими денежными средствами за период с 25.05.2017 по 16.07.2021 с продолжением начисления по день фактического погашения долга. Решением Арбитражного суда Свердловской области от 23.07.2021, оставленным без изменения постановлением Семнадцатого арбитражного апелляционного суда от 13.10.2021 и постановлением Арбитражного суда Уральского округа от 31.01.2022,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необоснованность выводов судов о неподтвержденности наличия у истца свободных денежных средств (отсутствие финансовой возможности) для выдачи займа ответчику. Выводы судов о том, что ответчик был наиболее подготовлен для выполнения работ заказчика и соответственно, денежные средства в размере 4 330 000 рублей были перечислены истцом в счет оплаты выполненных работ по подготовке инженерных изысканий, являются ошибочными.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истец в обоснование требований ссылается на то, что между ним (займодавец) и ответчиком (заемщик) заключены договоры займа от 21.02.2017 № 1 и от 24.05.2017 № 2. Ссылаясь на неисполнение обществом «Геопромкомплекс» обязательств по возврату займа, общество «Георесурс» обратилось в арбитражный суд с соответствующими требованиями. Исследовав и оценив по правилам статьи 71 АПК РФ представленные доказательства, в том числе заключение, составленное по результатам судебной экспертизы, на основали которого суд признал договоры займа сфальсифицированными, руководствуясь статьями 309, 310, 807, 809, 810, 812 Гражданского кодекса Российской Федерации, суды отказали в удовлетворении требований, признав недоказанным возникновение заемных обязательств. Установив аффилированность истца и ответчика, отсутствие у займодавца самостоятельной финансовой возможности выдать денежные средства ответчику под проценты, суды пришли к выводу, что перечисление денежных средств по платежным поручениям в рассматриваемом случае осуществлялось во исполнение обязательств по оплате заказчиком (третье лицо) выполненных работ.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«Георесурс»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