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01.09.2021, оставленным без изменения постановлением Девятого арбитражного апелляционного суда от 22.11.2021 и постановлением Арбитражного суда Московского округа от 14.02.2022, отказано в учете требования Морозова В.А. в качестве текущего. В кассационной жалобе Морозов В.А. просит об отмене судебных актов, ссылаясь на игнорирование отличия причиненного преступлением вреда от установленного в гражданско-правовом порядке вреда.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правомерно руководствовались статьей 1064 Гражданского кодекса Российской Федерации для определения момента возникновения обязательства вследствие причинения вреда преступлением и основанного на нем требования кредитора.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Морозову В.А.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