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29.07.2021, оставленным без изменения постановлением Одиннадцатого арбитражного апелляционного суда от 01.11.2021 и постановлением Арбитражного суда Поволжского округа от 18.01.2022, заявление удовлетворено частично: невнесение управляющим в реестр требований кредиторов должника сведений о частичном погашении требований банка и уклонение им от осуществления расчетов с кредиторами должника признаны незаконными; с управляющего в пользу банка взыскано 7 578 608 рублей 81 копейка убытков. В кассационной жалобе компания просит о пересмотре судебных актов, ссылаясь на неустановление причинно-следственной связи между незаконными действиями и убытками.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установленных обстоятельствах деятельности арбитражного управляющего суды признали наличие условий для взыскания убытков в силу пункта 4 статьи 20.4 Федерального закона «О несостоятельности (банкротстве)», статей 15, 1064 Гражданского кодекса Российской Федерации, статей 16, 69 Арбитражного процессуального кодекса Российской Федерации. Доводы кассационной жалобы не подтверждают нарушения норм права и не составляют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