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11.06.2021, оставленным без изменения постановлением Тринадцатого арбитражного апелляционного суда от 18.10.2021 и постановлением Арбитражного суда Северо-Западного округа от 11.01.2022, заявление общества с ограниченной ответственностью «РоссОйл» (далее – общество) о признании Бурката А.В. банкротом признано обоснованным, введена процедура реструктуризации долгов гражданина, утвержден финансовый управляющий, требование общества включено в третью очередь реестра требований кредиторов. В кассационной жалобе Буркат А.В. просит об отмене судебных актов, ссылаясь на ненадлежащее извещение его о судебном заседании.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о банкротстве Бурката А.В. и подлежащей включению в реестр задолженности основаны на неисполненном судебном акте суда общей юрисдикции и статьях 213.3, 213.5, 213.6 Федерального закона от 26.10.2002 № 127-ФЗ «О несостоятельности (банкротстве)». Судами установлено направление почтовой судебной корреспонденции по адресу регистрации должника, что признается надлежащим извещением в силу статей 121, 123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Буркату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