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08.09.2021, оставленным без изменения постановлением Шестнадцатого арбитражного апелляционного суда от 23.11.2021 и постановлением Арбитражного суда Северо-Кавказского округа от 01.02.2022, отказано в удовлетворении заявления. В кассационной жалобе Куцаенко И.И. просит об отмене судебных актов, ссылаясь на отсутствие оценки обстоятельств, которые не оценивались при включении требования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 пределах рассматриваемого спора установили реальное предоставление денежных средств по оспариваемым договорам и расходование их должником, исключающие в силу статьи 170 Гражданского кодекса Российской Федерации и статей 16, 69 Арбитражного процессуального кодекса Российской Федерации в отношении установленных ранее имеющих значение обстоятельств мнимость договоров.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Куцаенко И.И.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