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после отмены ранее состоявшихся судебных актов определением Арбитражного суда Московской области от 06.09.2021, оставленным без изменения постановлением Десятого арбитражного апелляционного суда от 22.11.2021 и постановлением Арбитражного суда Московского округа от 07.02.2022, за Алленых А.М. признано право на получение денежных средств из конкурсной массы должника в сумме 675 000 рублей, составляющих супружескую долю от продажи нежилого помещения. В кассационной жалобе Бобин В.А. просит об отмене судебных актов, ссылаясь на злоупотребление заявителя.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Заявитель как супруг должника имеет право на получение доли от реализации находящегося в совместной с должником собственности имущества в порядке, предусмотренном пунктом 7 статьей 213.26 Федерального закона от 26.10.2002 № 127-ФЗ «О несостоятельности (банкротстве)», оснований для отступления от которого суды не установили.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Бобину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