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11.05.2021, оставленным без изменения постановлением Тринадцатого арбитражного апелляционного суда от 09.08.2021, ходатайство финансового управляющего удовлетворено: суд обязал агентство предоставить сведения о зарегистрированных (расторгнутых) браках должника с указанием фамилии, имени, отчества, даты рождения супруги, даты заключения (расторжения) брака. Определением Арбитражного суда Северо-Западного округа от 28.10.2021, оставленным без изменения постановлением того же суда от 10.01.2022, производство по кассационной жалобе агентства на определение от 11.05.2021 и постановлением апелляционного суда от 09.08.2021 прекращено. В кассационной жалобе агентство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Обжалование определения, принятого по результатам рассмотрения судом ходатайства об истребовании доказательств, не предусмотрено ни нормами Арбитражного процессуального кодекса Российской Федерации, ни нормами Федерального закона от 26.10.2002 № 127-ФЗ «О несостоятельности (банкротстве)», поэтому жалоба не подлежала рассмотрению по существу и производство по ней прекращено применительно к пункту 1 части1 статьи 150 нормами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ЗАГС (Агентства)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