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19.05.2015 исковые требования удовлетворены частично, с ООО «Исток-Крым» в пользу ООО «Промстройсервис» взыскана сумма задолженности по кредиту в рублях, 2 эквивалентная 22 500 000 гривен по официальному курсу ЦБ РФ на дату фактического платежа, сумма задолженности по процентам в рублях, эквивалентная 10 275 483,23 гривен по официальному курсу ЦБ РФ на дату фактического платежа, расходы по государственной пошлине в рублях в сумме, эквивалентной 73 080 гривен по официальному курсу ЦБ РФ на дату фактического платежа. В удовлетворении остальной части исковых требований отказано. Впоследствии фонд и ООО «КИНГ АВТО» обратились в суд первой инстанции с заявлениями о процессуальном правопреемстве взыскателя. Определением Арбитражного суда Республики Крым от 14.07.2021, оставленным без изменения постановлением Двадцать первого арбитражного апелляционного суда от 18.10.2021 и постановлением Арбитражного суда Центрального округа от 22.02.2022, в удовлетворении заявлений отказано. В кассационных жалобах, поданных в Верховный Суд Российской Федерации, фонд и ООО «КИНГ АВТО» ставят вопрос об отмене принятых по делу судебных актов по результатам рассмотрения заявлений о процессуальном правопреемстве взыскателя, ссылаясь на существенное нарушение норм материального и процессуального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следует из судебных актов, фонд в обоснование заявления о процессуальном правопреемстве взыскателя сослался на то, что право (требование) задолженности и процентов по договору возобновляемой кредитной линии перешло от банка (первоначальный кредитор) к фонду в порядке части 1 статьи 382 Гражданского кодекса (далее - Гражданский кодекс) на основании Федерального закона от 02.04.2014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Федерального закона от 29.07.2017 № 240-ФЗ «О внесении изменений в отдельные законодательные акты Российской Федерации и о признании утратившими силу отдельных положений законодательных актов 3 Российской Федерации», при этом указал на ничтожность договора факторинга от 13.05.2014, заключенного между банком и ООО «Факторинговая компания «ФК Факторинг», и договора уступки прав требования от 16.05.2014, заключенного между ООО «Факторинговая компания «ФК Факторинг» (цедент) и ООО «Промстройсервис». ООО «КИНГ АВТО» в обоснование заявления о процессуальном правопреемстве взыскателя сослалось на договор об уступке прав требования к ООО «Исток-Крым» от 02.08.2019, заключенный между ООО «Факторинговая компания «ФК Факторинг» и ООО «КИНГ АВТО», отметив, что договор уступки прав требования от 16.05.2014 прекратил свое действие в связи с невыполнением ООО «Промстройсервис» обязанности по оплате прав требования в установленный срок. Рассматривая заявления фонда и ООО «КИНГ АВТО» о процессуальном правопреемстве, суд первой инстанции, руководствуясь положениями статьи 48 Арбитражного процессуального кодекса Российской Федерации, статей 1, 10, 382, 388, 421, 431 Гражданского кодекса, правовой позицией Пленума Верховного Суда Российской Федерации, изложенной в постановлениях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от 25.12.2018 № 49 «О некоторых вопросах применения общих положений Гражданского кодекса Российской Федерации о заключении и толковании договора», от 23.06.2015 № 25 «О применении судами некоторых положений раздела I части первой Гражданского кодекса Российской Федерации», от 14.03.2014 № 16 «О свободе договора и ее пределах», принимая во внимание обстоятельства, установленные по результатам рассмотрения дел № А40-126361/2015 и № А40-29859/2019, пришел к выводу об отсутствии оснований для процессуального правопреемства взыскателя. Отказывая в удовлетворении заявления ООО «КИНГ АВТО», суд исходил из того, что материалами дела не подтверждается действительная воля цедента на прекращение договора уступки прав требования от 16.05.2014, поскольку при рассмотрении дела по существу, как и в последующем ООО «Факторинговая компания «ФК «Факторинг» не заявлялось о том, что договор уступки прав требования является прекращенным, в связи с чем его действия признаны недобросовестными. Признавая необоснованным заявление фонда о процессуальном правопреемстве, суд первой инстанции пришел к выводу о том, что оно, по сути, является попыткой преодолеть вступившее в законную силу решение арбитражного суда, которым фонду отказано в признании сделок недействительными. Суды апелляционной инстанции и округа поддержали выводы суда первой инстанции. Приведенные заявителями доводы были предметом исследования судов нижестоящих инстанций,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4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«Фонд защиты вкладчиков» и обществу с ограниченной ответственностью «КИНГ АВТО»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